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5E91" w14:textId="77777777" w:rsidR="005D7367" w:rsidRPr="00183B03" w:rsidRDefault="005D7367" w:rsidP="00183B03">
      <w:pPr>
        <w:spacing w:before="240" w:after="240"/>
        <w:rPr>
          <w:b/>
          <w:color w:val="7E839E"/>
          <w:sz w:val="28"/>
          <w:szCs w:val="28"/>
          <w:lang w:val="ro-RO"/>
        </w:rPr>
      </w:pPr>
      <w:r w:rsidRPr="00183B03">
        <w:rPr>
          <w:b/>
          <w:bCs/>
          <w:color w:val="7E839E"/>
          <w:sz w:val="28"/>
          <w:szCs w:val="28"/>
          <w:lang w:val="ro-RO"/>
        </w:rPr>
        <w:t>STRATEGIA LED PRIVIND ACORDAREA DE SUPORT ÎN REPUBLICA MOLDOVA</w:t>
      </w:r>
    </w:p>
    <w:p w14:paraId="456B5E92" w14:textId="6EA3CE9B" w:rsidR="00C615B4" w:rsidRPr="007C64D4" w:rsidRDefault="005D7367" w:rsidP="005209B2">
      <w:pPr>
        <w:spacing w:before="120" w:after="120"/>
        <w:rPr>
          <w:lang w:val="ro-RO"/>
        </w:rPr>
      </w:pPr>
      <w:r w:rsidRPr="007C64D4">
        <w:rPr>
          <w:b/>
          <w:bCs/>
          <w:color w:val="7E839E"/>
          <w:lang w:val="ro-RO"/>
        </w:rPr>
        <w:t>Grupul ţintă:</w:t>
      </w:r>
      <w:r w:rsidRPr="007C64D4">
        <w:rPr>
          <w:lang w:val="ro-RO"/>
        </w:rPr>
        <w:t xml:space="preserve"> Proiectele finanțate de LED se axează pe grupul de vârstă 15-24 ani. Aceasta nu este o definiție de vârstă exclusivă</w:t>
      </w:r>
      <w:r w:rsidR="00E7679F">
        <w:rPr>
          <w:lang w:val="ro-RO"/>
        </w:rPr>
        <w:t xml:space="preserve">; astfel, </w:t>
      </w:r>
      <w:r w:rsidRPr="007C64D4">
        <w:rPr>
          <w:lang w:val="ro-RO"/>
        </w:rPr>
        <w:t xml:space="preserve">proiectele ar putea include și tineri din alte grupuri de vârstă. Grupul țintă include în mod explicit grupurile vulnerabile sau marginalizate </w:t>
      </w:r>
      <w:r w:rsidR="00AB55DE" w:rsidRPr="009D31D0">
        <w:rPr>
          <w:u w:val="single"/>
          <w:lang w:val="ro-RO"/>
        </w:rPr>
        <w:t xml:space="preserve">aflați </w:t>
      </w:r>
      <w:r w:rsidR="009D0566" w:rsidRPr="009D31D0">
        <w:rPr>
          <w:u w:val="single"/>
          <w:lang w:val="ro-RO"/>
        </w:rPr>
        <w:t>în</w:t>
      </w:r>
      <w:r w:rsidR="009D0566">
        <w:rPr>
          <w:lang w:val="ro-RO"/>
        </w:rPr>
        <w:t xml:space="preserve"> sau </w:t>
      </w:r>
      <w:r w:rsidR="009D0566" w:rsidRPr="009D31D0">
        <w:rPr>
          <w:u w:val="single"/>
          <w:lang w:val="ro-RO"/>
        </w:rPr>
        <w:t>în afara</w:t>
      </w:r>
      <w:r w:rsidR="009D0566">
        <w:rPr>
          <w:lang w:val="ro-RO"/>
        </w:rPr>
        <w:t xml:space="preserve"> s</w:t>
      </w:r>
      <w:r w:rsidRPr="007C64D4">
        <w:rPr>
          <w:lang w:val="ro-RO"/>
        </w:rPr>
        <w:t>istemului de învățământ.</w:t>
      </w:r>
    </w:p>
    <w:p w14:paraId="456B5E93" w14:textId="341F9F2F" w:rsidR="00B2327E" w:rsidRPr="007C64D4" w:rsidRDefault="00B2327E" w:rsidP="00B2327E">
      <w:pPr>
        <w:spacing w:before="120" w:after="120"/>
        <w:rPr>
          <w:lang w:val="ro-RO"/>
        </w:rPr>
      </w:pPr>
      <w:r w:rsidRPr="007C64D4">
        <w:rPr>
          <w:b/>
          <w:bCs/>
          <w:color w:val="7E839E"/>
          <w:lang w:val="ro-RO"/>
        </w:rPr>
        <w:t>Aspecte transversale:</w:t>
      </w:r>
      <w:r w:rsidR="00E7679F">
        <w:rPr>
          <w:b/>
          <w:bCs/>
          <w:color w:val="7E839E"/>
          <w:lang w:val="ro-RO"/>
        </w:rPr>
        <w:t xml:space="preserve"> </w:t>
      </w:r>
      <w:r w:rsidR="008C6585">
        <w:rPr>
          <w:lang w:val="ro-RO"/>
        </w:rPr>
        <w:t>Egalitatea de G</w:t>
      </w:r>
      <w:r w:rsidRPr="007C64D4">
        <w:rPr>
          <w:lang w:val="ro-RO"/>
        </w:rPr>
        <w:t>en, Ecologia și Drepturile Omului sunt elemente fundamentale ale angajamentului LED de a acorda sprijin Republicii Moldova. LED tinde să încorporeze aceste aspecte în tot mai multe măsuri de sprijin pentru următoarele domenii tematice</w:t>
      </w:r>
      <w:r w:rsidR="00C31A8D">
        <w:rPr>
          <w:lang w:val="ro-RO"/>
        </w:rPr>
        <w:t>:</w:t>
      </w:r>
      <w:r w:rsidRPr="007C64D4">
        <w:rPr>
          <w:lang w:val="ro-RO"/>
        </w:rPr>
        <w:t xml:space="preserve"> </w:t>
      </w:r>
    </w:p>
    <w:p w14:paraId="456B5E94" w14:textId="77777777" w:rsidR="005D7367" w:rsidRPr="007C64D4" w:rsidRDefault="00F5301F" w:rsidP="00A3001C">
      <w:pPr>
        <w:spacing w:before="360" w:after="240"/>
        <w:rPr>
          <w:b/>
          <w:bCs/>
          <w:color w:val="C49500"/>
          <w:lang w:val="ro-RO"/>
        </w:rPr>
      </w:pPr>
      <w:r w:rsidRPr="007C64D4">
        <w:rPr>
          <w:b/>
          <w:bCs/>
          <w:color w:val="C49500"/>
          <w:lang w:val="ro-RO"/>
        </w:rPr>
        <w:t>EDUCAŢIA FORMALĂ</w:t>
      </w:r>
    </w:p>
    <w:p w14:paraId="456B5E95" w14:textId="6A01B504" w:rsidR="004A01DD" w:rsidRPr="007C64D4" w:rsidRDefault="00492CAC" w:rsidP="005209B2">
      <w:pPr>
        <w:spacing w:before="120" w:after="120"/>
        <w:rPr>
          <w:lang w:val="ro-RO"/>
        </w:rPr>
      </w:pPr>
      <w:r w:rsidRPr="007C64D4">
        <w:rPr>
          <w:b/>
          <w:bCs/>
          <w:color w:val="C49500"/>
          <w:lang w:val="ro-RO"/>
        </w:rPr>
        <w:t>Nivelul intervenției:</w:t>
      </w:r>
      <w:r w:rsidRPr="007C64D4">
        <w:rPr>
          <w:lang w:val="ro-RO"/>
        </w:rPr>
        <w:t xml:space="preserve"> LED continuă să acorde sprijin proiectelor care au drept scop sporirea atractivității și calității învățământului profesional și tehnic (ÎPT). LED sprijină proiecte care </w:t>
      </w:r>
      <w:r w:rsidR="007C64D4" w:rsidRPr="007C64D4">
        <w:rPr>
          <w:lang w:val="ro-RO"/>
        </w:rPr>
        <w:t>desfășoară</w:t>
      </w:r>
      <w:r w:rsidRPr="007C64D4">
        <w:rPr>
          <w:lang w:val="ro-RO"/>
        </w:rPr>
        <w:t xml:space="preserve"> activități cu scopul de a consolida dezvoltarea organizațională a instituțiilor ÎPT și a îmbunătăți rezultatele învățării pentru formabili. În </w:t>
      </w:r>
      <w:r w:rsidR="00BD1754">
        <w:rPr>
          <w:lang w:val="ro-RO"/>
        </w:rPr>
        <w:t>cadrul acestei componente</w:t>
      </w:r>
      <w:r w:rsidRPr="007C64D4">
        <w:rPr>
          <w:lang w:val="ro-RO"/>
        </w:rPr>
        <w:t xml:space="preserve">, </w:t>
      </w:r>
      <w:r w:rsidR="00945EE5">
        <w:rPr>
          <w:lang w:val="ro-RO"/>
        </w:rPr>
        <w:t>o atenție importantă va fi</w:t>
      </w:r>
      <w:r w:rsidR="0029689B">
        <w:rPr>
          <w:lang w:val="ro-RO"/>
        </w:rPr>
        <w:t xml:space="preserve"> acorda</w:t>
      </w:r>
      <w:r w:rsidR="00945EE5">
        <w:rPr>
          <w:lang w:val="ro-RO"/>
        </w:rPr>
        <w:t>tă</w:t>
      </w:r>
      <w:r w:rsidR="00787F4E">
        <w:rPr>
          <w:lang w:val="ro-RO"/>
        </w:rPr>
        <w:t xml:space="preserve"> </w:t>
      </w:r>
      <w:r w:rsidR="008518C7">
        <w:rPr>
          <w:lang w:val="ro-RO"/>
        </w:rPr>
        <w:t>inter</w:t>
      </w:r>
      <w:r w:rsidR="007D2FE4">
        <w:rPr>
          <w:lang w:val="ro-RO"/>
        </w:rPr>
        <w:t>ven</w:t>
      </w:r>
      <w:r w:rsidRPr="007C64D4">
        <w:rPr>
          <w:lang w:val="ro-RO"/>
        </w:rPr>
        <w:t>țiil</w:t>
      </w:r>
      <w:r w:rsidR="00787F4E">
        <w:rPr>
          <w:lang w:val="ro-RO"/>
        </w:rPr>
        <w:t>or</w:t>
      </w:r>
      <w:r w:rsidRPr="007C64D4">
        <w:rPr>
          <w:lang w:val="ro-RO"/>
        </w:rPr>
        <w:t xml:space="preserve"> care formează elevilor din ÎPT </w:t>
      </w:r>
      <w:r w:rsidR="00501FCD">
        <w:rPr>
          <w:lang w:val="ro-RO"/>
        </w:rPr>
        <w:t xml:space="preserve">competențe </w:t>
      </w:r>
      <w:r w:rsidRPr="007C64D4">
        <w:rPr>
          <w:lang w:val="ro-RO"/>
        </w:rPr>
        <w:t>ocupaționale (tehnice), generale, personale și sociale</w:t>
      </w:r>
      <w:r w:rsidR="0095265D">
        <w:rPr>
          <w:lang w:val="ro-RO"/>
        </w:rPr>
        <w:t xml:space="preserve"> – competențe </w:t>
      </w:r>
      <w:r w:rsidRPr="007C64D4">
        <w:rPr>
          <w:lang w:val="ro-RO"/>
        </w:rPr>
        <w:t>relevante pentru angajare, locuri de muncă decente și antreprenoriat.</w:t>
      </w:r>
    </w:p>
    <w:p w14:paraId="456B5E96" w14:textId="420AB325" w:rsidR="00874380" w:rsidRPr="007C64D4" w:rsidRDefault="00C52335" w:rsidP="005209B2">
      <w:pPr>
        <w:spacing w:before="120" w:after="120"/>
        <w:rPr>
          <w:b/>
          <w:bCs/>
          <w:color w:val="C49500"/>
          <w:lang w:val="ro-RO"/>
        </w:rPr>
      </w:pPr>
      <w:r>
        <w:rPr>
          <w:b/>
          <w:bCs/>
          <w:color w:val="C49500"/>
          <w:lang w:val="ro-RO"/>
        </w:rPr>
        <w:t>P</w:t>
      </w:r>
      <w:r w:rsidRPr="007C64D4">
        <w:rPr>
          <w:b/>
          <w:bCs/>
          <w:color w:val="C49500"/>
          <w:lang w:val="ro-RO"/>
        </w:rPr>
        <w:t>arteneri</w:t>
      </w:r>
      <w:r>
        <w:rPr>
          <w:b/>
          <w:bCs/>
          <w:color w:val="C49500"/>
          <w:lang w:val="ro-RO"/>
        </w:rPr>
        <w:t xml:space="preserve"> P</w:t>
      </w:r>
      <w:r w:rsidR="004760D7" w:rsidRPr="007C64D4">
        <w:rPr>
          <w:b/>
          <w:bCs/>
          <w:color w:val="C49500"/>
          <w:lang w:val="ro-RO"/>
        </w:rPr>
        <w:t>otențiali</w:t>
      </w:r>
      <w:r w:rsidR="00874380" w:rsidRPr="007C64D4">
        <w:rPr>
          <w:b/>
          <w:bCs/>
          <w:color w:val="C49500"/>
          <w:lang w:val="ro-RO"/>
        </w:rPr>
        <w:t>:</w:t>
      </w:r>
    </w:p>
    <w:p w14:paraId="456B5E97" w14:textId="77777777" w:rsidR="00122893" w:rsidRPr="007C64D4" w:rsidRDefault="00122893" w:rsidP="005209B2">
      <w:pPr>
        <w:pStyle w:val="ListParagraph"/>
        <w:numPr>
          <w:ilvl w:val="0"/>
          <w:numId w:val="6"/>
        </w:numPr>
        <w:spacing w:before="120" w:after="120"/>
        <w:rPr>
          <w:lang w:val="ro-RO"/>
        </w:rPr>
        <w:sectPr w:rsidR="00122893" w:rsidRPr="007C64D4" w:rsidSect="003609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56B5E98" w14:textId="77777777" w:rsidR="00874380" w:rsidRPr="007C64D4" w:rsidRDefault="00874380" w:rsidP="00ED09BD">
      <w:pPr>
        <w:pStyle w:val="ListParagraph"/>
        <w:numPr>
          <w:ilvl w:val="0"/>
          <w:numId w:val="6"/>
        </w:numPr>
        <w:spacing w:before="120" w:after="120"/>
        <w:ind w:left="567" w:right="-284"/>
        <w:rPr>
          <w:lang w:val="ro-RO"/>
        </w:rPr>
      </w:pPr>
      <w:r w:rsidRPr="007C64D4">
        <w:rPr>
          <w:lang w:val="ro-RO"/>
        </w:rPr>
        <w:t>Instituţii ÎPT (școli profesionale, colegii, centre de excelență)</w:t>
      </w:r>
    </w:p>
    <w:p w14:paraId="456B5E99" w14:textId="77777777" w:rsidR="00E23533" w:rsidRPr="007C64D4" w:rsidRDefault="001D62AD" w:rsidP="00ED09BD">
      <w:pPr>
        <w:pStyle w:val="ListParagraph"/>
        <w:numPr>
          <w:ilvl w:val="0"/>
          <w:numId w:val="6"/>
        </w:numPr>
        <w:spacing w:before="120" w:after="120"/>
        <w:ind w:left="567"/>
        <w:rPr>
          <w:lang w:val="ro-RO"/>
        </w:rPr>
      </w:pPr>
      <w:r w:rsidRPr="007C64D4">
        <w:rPr>
          <w:lang w:val="ro-RO"/>
        </w:rPr>
        <w:t xml:space="preserve">Instituţii de învățământ superior  </w:t>
      </w:r>
    </w:p>
    <w:p w14:paraId="456B5E9A" w14:textId="77777777" w:rsidR="00C334B6" w:rsidRPr="007C64D4" w:rsidRDefault="00C334B6" w:rsidP="005209B2">
      <w:pPr>
        <w:pStyle w:val="ListParagraph"/>
        <w:numPr>
          <w:ilvl w:val="0"/>
          <w:numId w:val="6"/>
        </w:numPr>
        <w:spacing w:before="120" w:after="120"/>
        <w:rPr>
          <w:lang w:val="ro-RO"/>
        </w:rPr>
      </w:pPr>
      <w:r w:rsidRPr="007C64D4">
        <w:rPr>
          <w:lang w:val="ro-RO"/>
        </w:rPr>
        <w:t>Instituţii publice și MECC</w:t>
      </w:r>
    </w:p>
    <w:p w14:paraId="456B5E9B" w14:textId="77777777" w:rsidR="00C334B6" w:rsidRPr="007C64D4" w:rsidRDefault="00C334B6" w:rsidP="005209B2">
      <w:pPr>
        <w:pStyle w:val="ListParagraph"/>
        <w:numPr>
          <w:ilvl w:val="0"/>
          <w:numId w:val="6"/>
        </w:numPr>
        <w:spacing w:before="120" w:after="120"/>
        <w:rPr>
          <w:lang w:val="ro-RO"/>
        </w:rPr>
      </w:pPr>
      <w:r w:rsidRPr="007C64D4">
        <w:rPr>
          <w:lang w:val="ro-RO"/>
        </w:rPr>
        <w:t xml:space="preserve">Companii </w:t>
      </w:r>
    </w:p>
    <w:p w14:paraId="456B5E9C" w14:textId="77777777" w:rsidR="00122893" w:rsidRPr="007C64D4" w:rsidRDefault="00122893" w:rsidP="005209B2">
      <w:pPr>
        <w:spacing w:before="120" w:after="120"/>
        <w:rPr>
          <w:b/>
          <w:bCs/>
          <w:color w:val="9A4458"/>
          <w:lang w:val="ro-RO"/>
        </w:rPr>
        <w:sectPr w:rsidR="00122893" w:rsidRPr="007C64D4" w:rsidSect="000500D5">
          <w:type w:val="continuous"/>
          <w:pgSz w:w="11906" w:h="16838"/>
          <w:pgMar w:top="1134" w:right="851" w:bottom="1134" w:left="1418" w:header="709" w:footer="709" w:gutter="0"/>
          <w:cols w:num="2" w:space="281"/>
          <w:docGrid w:linePitch="360"/>
        </w:sectPr>
      </w:pPr>
    </w:p>
    <w:p w14:paraId="456B5E9D" w14:textId="77777777" w:rsidR="00D530EE" w:rsidRPr="007C64D4" w:rsidRDefault="00D530EE" w:rsidP="00A3001C">
      <w:pPr>
        <w:spacing w:before="360" w:after="240"/>
        <w:rPr>
          <w:b/>
          <w:bCs/>
          <w:color w:val="A0465B"/>
          <w:lang w:val="ro-RO"/>
        </w:rPr>
      </w:pPr>
      <w:r w:rsidRPr="007C64D4">
        <w:rPr>
          <w:b/>
          <w:bCs/>
          <w:color w:val="A0465B"/>
          <w:lang w:val="ro-RO"/>
        </w:rPr>
        <w:t>EDUCAŢIA NON-FORMALĂ</w:t>
      </w:r>
    </w:p>
    <w:p w14:paraId="456B5E9E" w14:textId="32798146" w:rsidR="003609D0" w:rsidRDefault="009F1EAD" w:rsidP="00636184">
      <w:pPr>
        <w:spacing w:after="120"/>
        <w:rPr>
          <w:lang w:val="ro-RO"/>
        </w:rPr>
      </w:pPr>
      <w:r w:rsidRPr="007C64D4">
        <w:rPr>
          <w:b/>
          <w:bCs/>
          <w:color w:val="A0465B"/>
          <w:lang w:val="ro-RO"/>
        </w:rPr>
        <w:t>Nivelul intervenției</w:t>
      </w:r>
      <w:r w:rsidRPr="007C64D4">
        <w:rPr>
          <w:b/>
          <w:bCs/>
          <w:lang w:val="ro-RO"/>
        </w:rPr>
        <w:t>:</w:t>
      </w:r>
      <w:r w:rsidRPr="007C64D4">
        <w:rPr>
          <w:lang w:val="ro-RO"/>
        </w:rPr>
        <w:t xml:space="preserve"> </w:t>
      </w:r>
      <w:r w:rsidR="0032243C">
        <w:rPr>
          <w:lang w:val="ro-RO"/>
        </w:rPr>
        <w:t>Î</w:t>
      </w:r>
      <w:r w:rsidR="0032243C" w:rsidRPr="0032243C">
        <w:rPr>
          <w:lang w:val="ro-RO"/>
        </w:rPr>
        <w:t>nvățarea</w:t>
      </w:r>
      <w:r w:rsidR="0032243C" w:rsidRPr="0032243C">
        <w:rPr>
          <w:lang w:val="ro-RO"/>
        </w:rPr>
        <w:t xml:space="preserve"> nu este legată numai de </w:t>
      </w:r>
      <w:r w:rsidR="0032243C" w:rsidRPr="0032243C">
        <w:rPr>
          <w:lang w:val="ro-RO"/>
        </w:rPr>
        <w:t>școală</w:t>
      </w:r>
      <w:r w:rsidR="00AF0F84">
        <w:rPr>
          <w:lang w:val="ro-RO"/>
        </w:rPr>
        <w:t>. U</w:t>
      </w:r>
      <w:r w:rsidR="0032243C" w:rsidRPr="0032243C">
        <w:rPr>
          <w:lang w:val="ro-RO"/>
        </w:rPr>
        <w:t xml:space="preserve">n număr mare al </w:t>
      </w:r>
      <w:r w:rsidR="00947452" w:rsidRPr="0032243C">
        <w:rPr>
          <w:lang w:val="ro-RO"/>
        </w:rPr>
        <w:t>experiențelor</w:t>
      </w:r>
      <w:r w:rsidR="0032243C" w:rsidRPr="0032243C">
        <w:rPr>
          <w:lang w:val="ro-RO"/>
        </w:rPr>
        <w:t xml:space="preserve"> noastre de </w:t>
      </w:r>
      <w:r w:rsidR="00947452" w:rsidRPr="0032243C">
        <w:rPr>
          <w:lang w:val="ro-RO"/>
        </w:rPr>
        <w:t>învățare</w:t>
      </w:r>
      <w:r w:rsidR="0032243C" w:rsidRPr="0032243C">
        <w:rPr>
          <w:lang w:val="ro-RO"/>
        </w:rPr>
        <w:t xml:space="preserve"> s</w:t>
      </w:r>
      <w:r w:rsidR="00AF0F84">
        <w:rPr>
          <w:lang w:val="ro-RO"/>
        </w:rPr>
        <w:t>e</w:t>
      </w:r>
      <w:r w:rsidR="0032243C" w:rsidRPr="0032243C">
        <w:rPr>
          <w:lang w:val="ro-RO"/>
        </w:rPr>
        <w:t xml:space="preserve"> </w:t>
      </w:r>
      <w:r w:rsidR="00947452" w:rsidRPr="0032243C">
        <w:rPr>
          <w:lang w:val="ro-RO"/>
        </w:rPr>
        <w:t>desfăș</w:t>
      </w:r>
      <w:r w:rsidR="00947452">
        <w:rPr>
          <w:lang w:val="ro-RO"/>
        </w:rPr>
        <w:t xml:space="preserve">oară </w:t>
      </w:r>
      <w:r w:rsidR="0032243C" w:rsidRPr="0032243C">
        <w:rPr>
          <w:lang w:val="ro-RO"/>
        </w:rPr>
        <w:t xml:space="preserve">în afara sistemului de </w:t>
      </w:r>
      <w:r w:rsidR="00947452" w:rsidRPr="0032243C">
        <w:rPr>
          <w:lang w:val="ro-RO"/>
        </w:rPr>
        <w:t>educație</w:t>
      </w:r>
      <w:r w:rsidR="0032243C" w:rsidRPr="0032243C">
        <w:rPr>
          <w:lang w:val="ro-RO"/>
        </w:rPr>
        <w:t xml:space="preserve"> formală: </w:t>
      </w:r>
      <w:r w:rsidRPr="007C64D4">
        <w:rPr>
          <w:lang w:val="ro-RO"/>
        </w:rPr>
        <w:t xml:space="preserve">pe parcursul activităților </w:t>
      </w:r>
      <w:r w:rsidR="007C64D4" w:rsidRPr="007C64D4">
        <w:rPr>
          <w:lang w:val="ro-RO"/>
        </w:rPr>
        <w:t>extra</w:t>
      </w:r>
      <w:r w:rsidR="007C64D4">
        <w:rPr>
          <w:lang w:val="ro-RO"/>
        </w:rPr>
        <w:t>-</w:t>
      </w:r>
      <w:r w:rsidR="007C64D4" w:rsidRPr="007C64D4">
        <w:rPr>
          <w:lang w:val="ro-RO"/>
        </w:rPr>
        <w:t>curriculare</w:t>
      </w:r>
      <w:r w:rsidRPr="007C64D4">
        <w:rPr>
          <w:lang w:val="ro-RO"/>
        </w:rPr>
        <w:t xml:space="preserve">, în timpul liber. LED susține programe de educație non-formală pentru dezvoltarea competențelor atât în cadrul </w:t>
      </w:r>
      <w:r w:rsidR="009259AB" w:rsidRPr="007C64D4">
        <w:rPr>
          <w:lang w:val="ro-RO"/>
        </w:rPr>
        <w:t>instituțiilor de învățământ</w:t>
      </w:r>
      <w:r w:rsidR="009259AB">
        <w:rPr>
          <w:lang w:val="ro-RO"/>
        </w:rPr>
        <w:t>,</w:t>
      </w:r>
      <w:r w:rsidR="009259AB" w:rsidRPr="007C64D4">
        <w:rPr>
          <w:lang w:val="ro-RO"/>
        </w:rPr>
        <w:t xml:space="preserve"> </w:t>
      </w:r>
      <w:r w:rsidRPr="007C64D4">
        <w:rPr>
          <w:lang w:val="ro-RO"/>
        </w:rPr>
        <w:t xml:space="preserve">cât și </w:t>
      </w:r>
      <w:r w:rsidR="00940D4F">
        <w:rPr>
          <w:lang w:val="ro-RO"/>
        </w:rPr>
        <w:t>în</w:t>
      </w:r>
      <w:r w:rsidRPr="007C64D4">
        <w:rPr>
          <w:lang w:val="ro-RO"/>
        </w:rPr>
        <w:t xml:space="preserve"> afara </w:t>
      </w:r>
      <w:r w:rsidR="009259AB">
        <w:rPr>
          <w:lang w:val="ro-RO"/>
        </w:rPr>
        <w:t xml:space="preserve">acestora </w:t>
      </w:r>
      <w:r w:rsidRPr="007C64D4">
        <w:rPr>
          <w:lang w:val="ro-RO"/>
        </w:rPr>
        <w:t xml:space="preserve">și </w:t>
      </w:r>
      <w:r w:rsidR="005643DF">
        <w:rPr>
          <w:lang w:val="ro-RO"/>
        </w:rPr>
        <w:t xml:space="preserve">care </w:t>
      </w:r>
      <w:r w:rsidRPr="007C64D4">
        <w:rPr>
          <w:lang w:val="ro-RO"/>
        </w:rPr>
        <w:t xml:space="preserve">oferă moduri </w:t>
      </w:r>
      <w:r w:rsidR="005643DF">
        <w:rPr>
          <w:lang w:val="ro-RO"/>
        </w:rPr>
        <w:t xml:space="preserve">și </w:t>
      </w:r>
      <w:r w:rsidR="00E56992">
        <w:rPr>
          <w:lang w:val="ro-RO"/>
        </w:rPr>
        <w:t>instrumente</w:t>
      </w:r>
      <w:r w:rsidR="005643DF">
        <w:rPr>
          <w:lang w:val="ro-RO"/>
        </w:rPr>
        <w:t xml:space="preserve"> </w:t>
      </w:r>
      <w:r w:rsidRPr="007C64D4">
        <w:rPr>
          <w:lang w:val="ro-RO"/>
        </w:rPr>
        <w:t>de desfășurare</w:t>
      </w:r>
      <w:r w:rsidR="00344A2E">
        <w:rPr>
          <w:lang w:val="ro-RO"/>
        </w:rPr>
        <w:t xml:space="preserve"> </w:t>
      </w:r>
      <w:r w:rsidRPr="007C64D4">
        <w:rPr>
          <w:lang w:val="ro-RO"/>
        </w:rPr>
        <w:t xml:space="preserve">inovative, flexibile și centrate pe cel ce învață. În acest caz, </w:t>
      </w:r>
      <w:r w:rsidR="00ED3F60">
        <w:rPr>
          <w:lang w:val="ro-RO"/>
        </w:rPr>
        <w:t>prioritățile organizației</w:t>
      </w:r>
      <w:r w:rsidRPr="007C64D4">
        <w:rPr>
          <w:lang w:val="ro-RO"/>
        </w:rPr>
        <w:t xml:space="preserve"> includ intervenții non-formale, care au drept scop </w:t>
      </w:r>
      <w:r w:rsidR="00917F35">
        <w:rPr>
          <w:lang w:val="ro-RO"/>
        </w:rPr>
        <w:t>reducerea</w:t>
      </w:r>
      <w:r w:rsidR="00C92B7D">
        <w:rPr>
          <w:lang w:val="ro-RO"/>
        </w:rPr>
        <w:t xml:space="preserve"> </w:t>
      </w:r>
      <w:r w:rsidRPr="007C64D4">
        <w:rPr>
          <w:lang w:val="ro-RO"/>
        </w:rPr>
        <w:t xml:space="preserve">inegalităților </w:t>
      </w:r>
      <w:r w:rsidR="00BA0215">
        <w:rPr>
          <w:lang w:val="ro-RO"/>
        </w:rPr>
        <w:t xml:space="preserve">în educație </w:t>
      </w:r>
      <w:r w:rsidRPr="007C64D4">
        <w:rPr>
          <w:lang w:val="ro-RO"/>
        </w:rPr>
        <w:t xml:space="preserve">prin </w:t>
      </w:r>
      <w:r w:rsidR="00C92B7D">
        <w:rPr>
          <w:lang w:val="ro-RO"/>
        </w:rPr>
        <w:t>incluziunea</w:t>
      </w:r>
      <w:r w:rsidRPr="007C64D4">
        <w:rPr>
          <w:lang w:val="ro-RO"/>
        </w:rPr>
        <w:t xml:space="preserve"> </w:t>
      </w:r>
      <w:r w:rsidR="00BA0215">
        <w:rPr>
          <w:lang w:val="ro-RO"/>
        </w:rPr>
        <w:t xml:space="preserve">grupurilor de </w:t>
      </w:r>
      <w:r w:rsidRPr="007C64D4">
        <w:rPr>
          <w:lang w:val="ro-RO"/>
        </w:rPr>
        <w:t>tineri</w:t>
      </w:r>
      <w:r w:rsidR="00BA0215">
        <w:rPr>
          <w:lang w:val="ro-RO"/>
        </w:rPr>
        <w:t xml:space="preserve"> marginalizați </w:t>
      </w:r>
      <w:r w:rsidR="005100FB">
        <w:rPr>
          <w:lang w:val="ro-RO"/>
        </w:rPr>
        <w:t>și</w:t>
      </w:r>
      <w:r w:rsidR="00BA0215">
        <w:rPr>
          <w:lang w:val="ro-RO"/>
        </w:rPr>
        <w:t xml:space="preserve"> excluși</w:t>
      </w:r>
      <w:r w:rsidRPr="007C64D4">
        <w:rPr>
          <w:lang w:val="ro-RO"/>
        </w:rPr>
        <w:t xml:space="preserve"> (în special cei din zone rurale). </w:t>
      </w:r>
    </w:p>
    <w:p w14:paraId="456B5E9F" w14:textId="5CD764EC" w:rsidR="007C05FC" w:rsidRPr="007C64D4" w:rsidRDefault="00C52335" w:rsidP="00374F53">
      <w:pPr>
        <w:spacing w:after="120"/>
        <w:rPr>
          <w:b/>
          <w:bCs/>
          <w:color w:val="A0465B"/>
          <w:lang w:val="ro-RO"/>
        </w:rPr>
      </w:pPr>
      <w:r>
        <w:rPr>
          <w:b/>
          <w:bCs/>
          <w:color w:val="A0465B"/>
          <w:lang w:val="ro-RO"/>
        </w:rPr>
        <w:t>P</w:t>
      </w:r>
      <w:r w:rsidRPr="007C64D4">
        <w:rPr>
          <w:b/>
          <w:bCs/>
          <w:color w:val="A0465B"/>
          <w:lang w:val="ro-RO"/>
        </w:rPr>
        <w:t>arteneri</w:t>
      </w:r>
      <w:r>
        <w:rPr>
          <w:b/>
          <w:bCs/>
          <w:color w:val="A0465B"/>
          <w:lang w:val="ro-RO"/>
        </w:rPr>
        <w:t xml:space="preserve"> p</w:t>
      </w:r>
      <w:r w:rsidR="005100FB" w:rsidRPr="007C64D4">
        <w:rPr>
          <w:b/>
          <w:bCs/>
          <w:color w:val="A0465B"/>
          <w:lang w:val="ro-RO"/>
        </w:rPr>
        <w:t>otențiali</w:t>
      </w:r>
      <w:r w:rsidR="00E23533" w:rsidRPr="007C64D4">
        <w:rPr>
          <w:b/>
          <w:bCs/>
          <w:color w:val="A0465B"/>
          <w:lang w:val="ro-RO"/>
        </w:rPr>
        <w:t>:</w:t>
      </w:r>
    </w:p>
    <w:p w14:paraId="456B5EA0" w14:textId="77777777" w:rsidR="001D539F" w:rsidRPr="007C64D4" w:rsidRDefault="001D539F" w:rsidP="005209B2">
      <w:pPr>
        <w:pStyle w:val="ListParagraph"/>
        <w:numPr>
          <w:ilvl w:val="0"/>
          <w:numId w:val="7"/>
        </w:numPr>
        <w:spacing w:before="120" w:after="120"/>
        <w:rPr>
          <w:lang w:val="ro-RO"/>
        </w:rPr>
        <w:sectPr w:rsidR="001D539F" w:rsidRPr="007C64D4" w:rsidSect="00122893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A5B4290" w14:textId="4C97D64F" w:rsidR="001B0B45" w:rsidRDefault="001B0B45" w:rsidP="00ED09BD">
      <w:pPr>
        <w:pStyle w:val="ListParagraph"/>
        <w:numPr>
          <w:ilvl w:val="0"/>
          <w:numId w:val="7"/>
        </w:numPr>
        <w:spacing w:before="120" w:after="120"/>
        <w:ind w:left="567" w:right="-356"/>
        <w:rPr>
          <w:lang w:val="ro-RO"/>
        </w:rPr>
      </w:pPr>
      <w:r w:rsidRPr="001B0B45">
        <w:rPr>
          <w:lang w:val="ro-RO"/>
        </w:rPr>
        <w:t>Organizații</w:t>
      </w:r>
      <w:r w:rsidRPr="001B0B45">
        <w:rPr>
          <w:lang w:val="ro-RO"/>
        </w:rPr>
        <w:t xml:space="preserve"> ale </w:t>
      </w:r>
      <w:r w:rsidRPr="001B0B45">
        <w:rPr>
          <w:lang w:val="ro-RO"/>
        </w:rPr>
        <w:t>societății</w:t>
      </w:r>
      <w:r w:rsidRPr="001B0B45">
        <w:rPr>
          <w:lang w:val="ro-RO"/>
        </w:rPr>
        <w:t xml:space="preserve"> civile</w:t>
      </w:r>
      <w:r w:rsidRPr="001B0B45">
        <w:rPr>
          <w:lang w:val="ro-RO"/>
        </w:rPr>
        <w:t xml:space="preserve"> </w:t>
      </w:r>
      <w:r w:rsidR="00C52335">
        <w:rPr>
          <w:lang w:val="ro-RO"/>
        </w:rPr>
        <w:t>(OSC)</w:t>
      </w:r>
    </w:p>
    <w:p w14:paraId="456B5EA2" w14:textId="0C66AF2F" w:rsidR="00E23533" w:rsidRPr="007C64D4" w:rsidRDefault="00E23533" w:rsidP="00ED09BD">
      <w:pPr>
        <w:pStyle w:val="ListParagraph"/>
        <w:numPr>
          <w:ilvl w:val="0"/>
          <w:numId w:val="7"/>
        </w:numPr>
        <w:spacing w:before="120" w:after="120"/>
        <w:ind w:left="567" w:right="-356"/>
        <w:rPr>
          <w:lang w:val="ro-RO"/>
        </w:rPr>
      </w:pPr>
      <w:r w:rsidRPr="007C64D4">
        <w:rPr>
          <w:lang w:val="ro-RO"/>
        </w:rPr>
        <w:t xml:space="preserve">Prestatori alternativi de educație non-formală </w:t>
      </w:r>
    </w:p>
    <w:p w14:paraId="456B5EA3" w14:textId="4657C054" w:rsidR="00122893" w:rsidRPr="007C64D4" w:rsidRDefault="001B0B45" w:rsidP="005209B2">
      <w:pPr>
        <w:pStyle w:val="ListParagraph"/>
        <w:numPr>
          <w:ilvl w:val="0"/>
          <w:numId w:val="7"/>
        </w:numPr>
        <w:spacing w:before="120" w:after="120"/>
        <w:rPr>
          <w:lang w:val="ro-RO"/>
        </w:rPr>
      </w:pPr>
      <w:r w:rsidRPr="007C64D4">
        <w:rPr>
          <w:lang w:val="ro-RO"/>
        </w:rPr>
        <w:t>Instituții</w:t>
      </w:r>
      <w:r w:rsidR="00122893" w:rsidRPr="007C64D4">
        <w:rPr>
          <w:lang w:val="ro-RO"/>
        </w:rPr>
        <w:t xml:space="preserve"> publice și MECC </w:t>
      </w:r>
    </w:p>
    <w:p w14:paraId="456B5EA4" w14:textId="77777777" w:rsidR="001D539F" w:rsidRPr="007C64D4" w:rsidRDefault="001D539F" w:rsidP="005209B2">
      <w:pPr>
        <w:spacing w:before="120" w:after="120"/>
        <w:rPr>
          <w:b/>
          <w:bCs/>
          <w:color w:val="2BADBB"/>
          <w:lang w:val="ro-RO"/>
        </w:rPr>
        <w:sectPr w:rsidR="001D539F" w:rsidRPr="007C64D4" w:rsidSect="001D539F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14:paraId="456B5EA5" w14:textId="77777777" w:rsidR="003609D0" w:rsidRPr="007C64D4" w:rsidRDefault="003609D0" w:rsidP="001B0B45">
      <w:pPr>
        <w:spacing w:before="360" w:after="240"/>
        <w:rPr>
          <w:b/>
          <w:bCs/>
          <w:color w:val="2BADBB"/>
          <w:lang w:val="ro-RO"/>
        </w:rPr>
      </w:pPr>
      <w:r w:rsidRPr="007C64D4">
        <w:rPr>
          <w:b/>
          <w:bCs/>
          <w:color w:val="2BADBB"/>
          <w:lang w:val="ro-RO"/>
        </w:rPr>
        <w:t>ACTIVITATE ADVOCACY ÎN ÎNVĂȚĂMÂNT</w:t>
      </w:r>
    </w:p>
    <w:p w14:paraId="456B5EA6" w14:textId="20BA867D" w:rsidR="009F1EAD" w:rsidRPr="007C64D4" w:rsidRDefault="009F1EAD" w:rsidP="005209B2">
      <w:pPr>
        <w:spacing w:before="120" w:after="120"/>
        <w:rPr>
          <w:lang w:val="ro-RO"/>
        </w:rPr>
      </w:pPr>
      <w:r w:rsidRPr="007C64D4">
        <w:rPr>
          <w:b/>
          <w:bCs/>
          <w:color w:val="2BADBB"/>
          <w:lang w:val="ro-RO"/>
        </w:rPr>
        <w:t>Nivelul intervenției:</w:t>
      </w:r>
      <w:r w:rsidRPr="007C64D4">
        <w:rPr>
          <w:lang w:val="ro-RO"/>
        </w:rPr>
        <w:t xml:space="preserve"> LED exprimă deschidere pentru a sprijini activitatea de advocacy în învățământ, cu accent pe consolidarea dialogului dintre principalele părți interesate. </w:t>
      </w:r>
      <w:r w:rsidR="00D71A58">
        <w:rPr>
          <w:lang w:val="ro-RO"/>
        </w:rPr>
        <w:t>M</w:t>
      </w:r>
      <w:r w:rsidRPr="007C64D4">
        <w:rPr>
          <w:lang w:val="ro-RO"/>
        </w:rPr>
        <w:t>onitorizarea, accesul la informații/</w:t>
      </w:r>
      <w:r w:rsidR="00D71A58">
        <w:rPr>
          <w:lang w:val="ro-RO"/>
        </w:rPr>
        <w:t>date</w:t>
      </w:r>
      <w:r w:rsidRPr="007C64D4">
        <w:rPr>
          <w:lang w:val="ro-RO"/>
        </w:rPr>
        <w:t xml:space="preserve"> și </w:t>
      </w:r>
      <w:r w:rsidR="00D609AD">
        <w:rPr>
          <w:lang w:val="ro-RO"/>
        </w:rPr>
        <w:t>responsabili</w:t>
      </w:r>
      <w:r w:rsidR="007E1D97">
        <w:rPr>
          <w:lang w:val="ro-RO"/>
        </w:rPr>
        <w:t>tatea</w:t>
      </w:r>
      <w:r w:rsidRPr="007C64D4">
        <w:rPr>
          <w:lang w:val="ro-RO"/>
        </w:rPr>
        <w:t xml:space="preserve"> </w:t>
      </w:r>
      <w:r w:rsidR="002C249D">
        <w:rPr>
          <w:lang w:val="ro-RO"/>
        </w:rPr>
        <w:t>din cadrul</w:t>
      </w:r>
      <w:r w:rsidRPr="007C64D4">
        <w:rPr>
          <w:lang w:val="ro-RO"/>
        </w:rPr>
        <w:t xml:space="preserve"> sistemul de învățământ</w:t>
      </w:r>
      <w:r w:rsidR="00D71A58">
        <w:rPr>
          <w:lang w:val="ro-RO"/>
        </w:rPr>
        <w:t xml:space="preserve"> sunt </w:t>
      </w:r>
      <w:r w:rsidR="00D0031E">
        <w:rPr>
          <w:lang w:val="ro-RO"/>
        </w:rPr>
        <w:t>componentele</w:t>
      </w:r>
      <w:r w:rsidR="00D71A58">
        <w:rPr>
          <w:lang w:val="ro-RO"/>
        </w:rPr>
        <w:t xml:space="preserve"> </w:t>
      </w:r>
      <w:r w:rsidR="00D0031E">
        <w:rPr>
          <w:lang w:val="ro-RO"/>
        </w:rPr>
        <w:t xml:space="preserve">esențiale ale activităților de </w:t>
      </w:r>
      <w:r w:rsidR="00D0031E" w:rsidRPr="00D0031E">
        <w:rPr>
          <w:lang w:val="en-GB"/>
        </w:rPr>
        <w:t>advocacy</w:t>
      </w:r>
      <w:r w:rsidRPr="00D0031E">
        <w:rPr>
          <w:lang w:val="en-GB"/>
        </w:rPr>
        <w:t>.</w:t>
      </w:r>
      <w:r w:rsidRPr="007C64D4">
        <w:rPr>
          <w:lang w:val="ro-RO"/>
        </w:rPr>
        <w:t xml:space="preserve"> </w:t>
      </w:r>
      <w:r w:rsidR="00A67FF6" w:rsidRPr="007C64D4">
        <w:rPr>
          <w:lang w:val="ro-RO"/>
        </w:rPr>
        <w:t xml:space="preserve">În </w:t>
      </w:r>
      <w:r w:rsidR="00CA52EF">
        <w:rPr>
          <w:lang w:val="ro-RO"/>
        </w:rPr>
        <w:t>acest caz</w:t>
      </w:r>
      <w:bookmarkStart w:id="0" w:name="_GoBack"/>
      <w:bookmarkEnd w:id="0"/>
      <w:r w:rsidRPr="007C64D4">
        <w:rPr>
          <w:lang w:val="ro-RO"/>
        </w:rPr>
        <w:t xml:space="preserve">, </w:t>
      </w:r>
      <w:r w:rsidR="00A67FF6">
        <w:rPr>
          <w:lang w:val="ro-RO"/>
        </w:rPr>
        <w:t>prioritățile</w:t>
      </w:r>
      <w:r w:rsidRPr="007C64D4">
        <w:rPr>
          <w:lang w:val="ro-RO"/>
        </w:rPr>
        <w:t xml:space="preserve"> cuprind intervenții cu scop de a consolida </w:t>
      </w:r>
      <w:r w:rsidR="0060744B">
        <w:rPr>
          <w:lang w:val="ro-RO"/>
        </w:rPr>
        <w:t>incluziunea</w:t>
      </w:r>
      <w:r w:rsidRPr="007C64D4">
        <w:rPr>
          <w:lang w:val="ro-RO"/>
        </w:rPr>
        <w:t xml:space="preserve"> grupurilor de părți interesate</w:t>
      </w:r>
      <w:r w:rsidR="00B0235A">
        <w:rPr>
          <w:lang w:val="ro-RO"/>
        </w:rPr>
        <w:t xml:space="preserve"> și celor sub-reprezentate</w:t>
      </w:r>
      <w:r w:rsidRPr="007C64D4">
        <w:rPr>
          <w:lang w:val="ro-RO"/>
        </w:rPr>
        <w:t xml:space="preserve">, advocacy pe bază de </w:t>
      </w:r>
      <w:r w:rsidRPr="007C64D4">
        <w:rPr>
          <w:lang w:val="ro-RO"/>
        </w:rPr>
        <w:lastRenderedPageBreak/>
        <w:t>dovezi și mecanisme</w:t>
      </w:r>
      <w:r w:rsidR="00631FCA">
        <w:rPr>
          <w:lang w:val="ro-RO"/>
        </w:rPr>
        <w:t>le</w:t>
      </w:r>
      <w:r w:rsidRPr="007C64D4">
        <w:rPr>
          <w:lang w:val="ro-RO"/>
        </w:rPr>
        <w:t xml:space="preserve"> eficiente de comunicare în cadrul și între OSC-uri și persoanele responsabile. </w:t>
      </w:r>
    </w:p>
    <w:p w14:paraId="456B5EA7" w14:textId="72357D24" w:rsidR="002B7A18" w:rsidRPr="007C64D4" w:rsidRDefault="006A4258" w:rsidP="00374F53">
      <w:pPr>
        <w:spacing w:before="120" w:after="120"/>
        <w:rPr>
          <w:b/>
          <w:bCs/>
          <w:color w:val="2BADBB"/>
          <w:lang w:val="ro-RO"/>
        </w:rPr>
      </w:pPr>
      <w:r>
        <w:rPr>
          <w:b/>
          <w:bCs/>
          <w:color w:val="2BADBB"/>
          <w:lang w:val="ro-RO"/>
        </w:rPr>
        <w:t>P</w:t>
      </w:r>
      <w:r w:rsidR="005209B2" w:rsidRPr="007C64D4">
        <w:rPr>
          <w:b/>
          <w:bCs/>
          <w:color w:val="2BADBB"/>
          <w:lang w:val="ro-RO"/>
        </w:rPr>
        <w:t>arteneri</w:t>
      </w:r>
      <w:r w:rsidR="00C52335" w:rsidRPr="00C52335">
        <w:rPr>
          <w:b/>
          <w:bCs/>
          <w:color w:val="2BADBB"/>
          <w:lang w:val="ro-RO"/>
        </w:rPr>
        <w:t xml:space="preserve"> </w:t>
      </w:r>
      <w:r w:rsidR="00C52335">
        <w:rPr>
          <w:b/>
          <w:bCs/>
          <w:color w:val="2BADBB"/>
          <w:lang w:val="ro-RO"/>
        </w:rPr>
        <w:t>p</w:t>
      </w:r>
      <w:r w:rsidR="00C52335" w:rsidRPr="007C64D4">
        <w:rPr>
          <w:b/>
          <w:bCs/>
          <w:color w:val="2BADBB"/>
          <w:lang w:val="ro-RO"/>
        </w:rPr>
        <w:t>otențiali</w:t>
      </w:r>
      <w:r w:rsidR="005209B2" w:rsidRPr="007C64D4">
        <w:rPr>
          <w:b/>
          <w:bCs/>
          <w:color w:val="2BADBB"/>
          <w:lang w:val="ro-RO"/>
        </w:rPr>
        <w:t>:</w:t>
      </w:r>
    </w:p>
    <w:p w14:paraId="456B5EA8" w14:textId="77777777" w:rsidR="001D539F" w:rsidRPr="007C64D4" w:rsidRDefault="001D539F" w:rsidP="005209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color w:val="000000" w:themeColor="text1"/>
          <w:lang w:val="ro-RO"/>
        </w:rPr>
        <w:sectPr w:rsidR="001D539F" w:rsidRPr="007C64D4" w:rsidSect="00122893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56B5EA9" w14:textId="77777777" w:rsidR="005209B2" w:rsidRPr="007C64D4" w:rsidRDefault="005209B2" w:rsidP="004D7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567"/>
        <w:rPr>
          <w:color w:val="000000" w:themeColor="text1"/>
          <w:lang w:val="ro-RO"/>
        </w:rPr>
      </w:pPr>
      <w:r w:rsidRPr="007C64D4">
        <w:rPr>
          <w:color w:val="000000" w:themeColor="text1"/>
          <w:lang w:val="ro-RO"/>
        </w:rPr>
        <w:t>OSC-uri</w:t>
      </w:r>
    </w:p>
    <w:p w14:paraId="456B5EAA" w14:textId="77777777" w:rsidR="005209B2" w:rsidRPr="007C64D4" w:rsidRDefault="005209B2" w:rsidP="004D7A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567"/>
        <w:rPr>
          <w:color w:val="000000" w:themeColor="text1"/>
          <w:lang w:val="ro-RO"/>
        </w:rPr>
      </w:pPr>
      <w:r w:rsidRPr="007C64D4">
        <w:rPr>
          <w:color w:val="000000" w:themeColor="text1"/>
          <w:lang w:val="ro-RO"/>
        </w:rPr>
        <w:t xml:space="preserve">Asociații ale profesorilor, directorilor, părinților, elevilor și asociații antreprenoriale </w:t>
      </w:r>
    </w:p>
    <w:p w14:paraId="456B5EAB" w14:textId="77777777" w:rsidR="005209B2" w:rsidRPr="007C64D4" w:rsidRDefault="005209B2" w:rsidP="005209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color w:val="000000" w:themeColor="text1"/>
          <w:lang w:val="ro-RO"/>
        </w:rPr>
      </w:pPr>
      <w:r w:rsidRPr="007C64D4">
        <w:rPr>
          <w:color w:val="000000" w:themeColor="text1"/>
          <w:lang w:val="ro-RO"/>
        </w:rPr>
        <w:t xml:space="preserve">Instituţii de cercetare </w:t>
      </w:r>
    </w:p>
    <w:p w14:paraId="456B5EAC" w14:textId="77777777" w:rsidR="001D539F" w:rsidRPr="007C64D4" w:rsidRDefault="000C5FF5" w:rsidP="005209B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/>
        <w:rPr>
          <w:color w:val="000000" w:themeColor="text1"/>
          <w:lang w:val="ro-RO"/>
        </w:rPr>
        <w:sectPr w:rsidR="001D539F" w:rsidRPr="007C64D4" w:rsidSect="001D539F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 w:rsidRPr="007C64D4">
        <w:rPr>
          <w:color w:val="000000" w:themeColor="text1"/>
          <w:lang w:val="ro-RO"/>
        </w:rPr>
        <w:t>Instituţii publice și MECC</w:t>
      </w:r>
    </w:p>
    <w:p w14:paraId="456B5EAD" w14:textId="77777777" w:rsidR="00647158" w:rsidRPr="007C64D4" w:rsidRDefault="00647158" w:rsidP="00B74C8C">
      <w:pPr>
        <w:spacing w:before="120" w:after="120"/>
        <w:rPr>
          <w:lang w:val="ro-RO"/>
        </w:rPr>
      </w:pPr>
    </w:p>
    <w:sectPr w:rsidR="00647158" w:rsidRPr="007C64D4" w:rsidSect="00122893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52B"/>
    <w:multiLevelType w:val="hybridMultilevel"/>
    <w:tmpl w:val="12F0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427B"/>
    <w:multiLevelType w:val="hybridMultilevel"/>
    <w:tmpl w:val="69B2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9C1"/>
    <w:multiLevelType w:val="hybridMultilevel"/>
    <w:tmpl w:val="AF0E4884"/>
    <w:lvl w:ilvl="0" w:tplc="5EDA3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960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F3360"/>
    <w:multiLevelType w:val="hybridMultilevel"/>
    <w:tmpl w:val="A476ECCA"/>
    <w:lvl w:ilvl="0" w:tplc="2620F7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0E14"/>
    <w:multiLevelType w:val="hybridMultilevel"/>
    <w:tmpl w:val="281E77B8"/>
    <w:lvl w:ilvl="0" w:tplc="65C0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4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6069"/>
    <w:multiLevelType w:val="hybridMultilevel"/>
    <w:tmpl w:val="8A94F434"/>
    <w:lvl w:ilvl="0" w:tplc="27C65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B4095"/>
    <w:multiLevelType w:val="hybridMultilevel"/>
    <w:tmpl w:val="9462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9562F"/>
    <w:multiLevelType w:val="hybridMultilevel"/>
    <w:tmpl w:val="2F8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367"/>
    <w:rsid w:val="00033DAA"/>
    <w:rsid w:val="000500D5"/>
    <w:rsid w:val="0005187F"/>
    <w:rsid w:val="000721FA"/>
    <w:rsid w:val="0007281C"/>
    <w:rsid w:val="00080324"/>
    <w:rsid w:val="000814E9"/>
    <w:rsid w:val="0008583D"/>
    <w:rsid w:val="000C2512"/>
    <w:rsid w:val="000C5FF5"/>
    <w:rsid w:val="000C6151"/>
    <w:rsid w:val="00122893"/>
    <w:rsid w:val="00141AC5"/>
    <w:rsid w:val="00163225"/>
    <w:rsid w:val="001679DF"/>
    <w:rsid w:val="00167F42"/>
    <w:rsid w:val="001827FA"/>
    <w:rsid w:val="00183B03"/>
    <w:rsid w:val="001B0B45"/>
    <w:rsid w:val="001C0101"/>
    <w:rsid w:val="001C5B7C"/>
    <w:rsid w:val="001D539F"/>
    <w:rsid w:val="001D62AD"/>
    <w:rsid w:val="001F26BE"/>
    <w:rsid w:val="00222A10"/>
    <w:rsid w:val="002300F6"/>
    <w:rsid w:val="00245188"/>
    <w:rsid w:val="00254C0C"/>
    <w:rsid w:val="00275562"/>
    <w:rsid w:val="0029689B"/>
    <w:rsid w:val="002A76AF"/>
    <w:rsid w:val="002B1CAB"/>
    <w:rsid w:val="002B7A18"/>
    <w:rsid w:val="002C249D"/>
    <w:rsid w:val="002D605F"/>
    <w:rsid w:val="00303C3B"/>
    <w:rsid w:val="00307DD0"/>
    <w:rsid w:val="003110F7"/>
    <w:rsid w:val="0032243C"/>
    <w:rsid w:val="003301B3"/>
    <w:rsid w:val="00344A2E"/>
    <w:rsid w:val="003470F8"/>
    <w:rsid w:val="003514E0"/>
    <w:rsid w:val="003516A7"/>
    <w:rsid w:val="00352322"/>
    <w:rsid w:val="00357611"/>
    <w:rsid w:val="003609D0"/>
    <w:rsid w:val="00374F53"/>
    <w:rsid w:val="00381177"/>
    <w:rsid w:val="00392A15"/>
    <w:rsid w:val="003A6ECA"/>
    <w:rsid w:val="003B3665"/>
    <w:rsid w:val="003B7CDC"/>
    <w:rsid w:val="003C3CD4"/>
    <w:rsid w:val="003F352D"/>
    <w:rsid w:val="003F50D1"/>
    <w:rsid w:val="004451C4"/>
    <w:rsid w:val="00447A7C"/>
    <w:rsid w:val="00472A08"/>
    <w:rsid w:val="004760D7"/>
    <w:rsid w:val="00492CAC"/>
    <w:rsid w:val="004A01DD"/>
    <w:rsid w:val="004A25B6"/>
    <w:rsid w:val="004B3386"/>
    <w:rsid w:val="004D5383"/>
    <w:rsid w:val="004D7AF0"/>
    <w:rsid w:val="00500021"/>
    <w:rsid w:val="00501FCD"/>
    <w:rsid w:val="00502C1E"/>
    <w:rsid w:val="005100FB"/>
    <w:rsid w:val="005209B2"/>
    <w:rsid w:val="00520EB8"/>
    <w:rsid w:val="00522DAB"/>
    <w:rsid w:val="005643DF"/>
    <w:rsid w:val="005824A6"/>
    <w:rsid w:val="005A280F"/>
    <w:rsid w:val="005A61D4"/>
    <w:rsid w:val="005C376B"/>
    <w:rsid w:val="005D52B3"/>
    <w:rsid w:val="005D7367"/>
    <w:rsid w:val="005F2200"/>
    <w:rsid w:val="0060744B"/>
    <w:rsid w:val="00621303"/>
    <w:rsid w:val="00622B75"/>
    <w:rsid w:val="00627623"/>
    <w:rsid w:val="00631FCA"/>
    <w:rsid w:val="00636184"/>
    <w:rsid w:val="00647158"/>
    <w:rsid w:val="00693993"/>
    <w:rsid w:val="006A4258"/>
    <w:rsid w:val="006A7BD7"/>
    <w:rsid w:val="006B32CA"/>
    <w:rsid w:val="006B7975"/>
    <w:rsid w:val="006E2776"/>
    <w:rsid w:val="00720BEE"/>
    <w:rsid w:val="00765555"/>
    <w:rsid w:val="00782263"/>
    <w:rsid w:val="00787F4E"/>
    <w:rsid w:val="00796B4F"/>
    <w:rsid w:val="007B01AB"/>
    <w:rsid w:val="007C05FC"/>
    <w:rsid w:val="007C64D4"/>
    <w:rsid w:val="007C6997"/>
    <w:rsid w:val="007D2FE4"/>
    <w:rsid w:val="007E1D97"/>
    <w:rsid w:val="00813000"/>
    <w:rsid w:val="00834C64"/>
    <w:rsid w:val="008518C7"/>
    <w:rsid w:val="00855AFA"/>
    <w:rsid w:val="00874380"/>
    <w:rsid w:val="00894A08"/>
    <w:rsid w:val="008972CE"/>
    <w:rsid w:val="008B251F"/>
    <w:rsid w:val="008B4531"/>
    <w:rsid w:val="008B63B9"/>
    <w:rsid w:val="008C6585"/>
    <w:rsid w:val="008D76E4"/>
    <w:rsid w:val="00912F3D"/>
    <w:rsid w:val="00915985"/>
    <w:rsid w:val="00917F35"/>
    <w:rsid w:val="009259AB"/>
    <w:rsid w:val="00931A21"/>
    <w:rsid w:val="00940D4F"/>
    <w:rsid w:val="00945EE5"/>
    <w:rsid w:val="00947452"/>
    <w:rsid w:val="0095265D"/>
    <w:rsid w:val="00962A39"/>
    <w:rsid w:val="009A1014"/>
    <w:rsid w:val="009B08FC"/>
    <w:rsid w:val="009B4A08"/>
    <w:rsid w:val="009B7D83"/>
    <w:rsid w:val="009D0566"/>
    <w:rsid w:val="009D31D0"/>
    <w:rsid w:val="009E3F74"/>
    <w:rsid w:val="009F1EAD"/>
    <w:rsid w:val="009F71DC"/>
    <w:rsid w:val="00A3001C"/>
    <w:rsid w:val="00A67FF6"/>
    <w:rsid w:val="00A70E45"/>
    <w:rsid w:val="00A846E1"/>
    <w:rsid w:val="00AA5260"/>
    <w:rsid w:val="00AB08F5"/>
    <w:rsid w:val="00AB55DE"/>
    <w:rsid w:val="00AC4AF0"/>
    <w:rsid w:val="00AC5F36"/>
    <w:rsid w:val="00AF0F84"/>
    <w:rsid w:val="00AF6B6C"/>
    <w:rsid w:val="00B00DFE"/>
    <w:rsid w:val="00B0235A"/>
    <w:rsid w:val="00B06773"/>
    <w:rsid w:val="00B15941"/>
    <w:rsid w:val="00B2327E"/>
    <w:rsid w:val="00B40CC7"/>
    <w:rsid w:val="00B508E7"/>
    <w:rsid w:val="00B74C8C"/>
    <w:rsid w:val="00B75713"/>
    <w:rsid w:val="00B85EF2"/>
    <w:rsid w:val="00B86F28"/>
    <w:rsid w:val="00B92E20"/>
    <w:rsid w:val="00BA0215"/>
    <w:rsid w:val="00BB6331"/>
    <w:rsid w:val="00BD11CD"/>
    <w:rsid w:val="00BD1754"/>
    <w:rsid w:val="00BF6858"/>
    <w:rsid w:val="00BF6D34"/>
    <w:rsid w:val="00C06FCD"/>
    <w:rsid w:val="00C15CB1"/>
    <w:rsid w:val="00C22CF3"/>
    <w:rsid w:val="00C31A8D"/>
    <w:rsid w:val="00C334B6"/>
    <w:rsid w:val="00C4234B"/>
    <w:rsid w:val="00C44007"/>
    <w:rsid w:val="00C52335"/>
    <w:rsid w:val="00C60069"/>
    <w:rsid w:val="00C615B4"/>
    <w:rsid w:val="00C91F7B"/>
    <w:rsid w:val="00C92B7D"/>
    <w:rsid w:val="00CA52EF"/>
    <w:rsid w:val="00CC0F66"/>
    <w:rsid w:val="00CC2E5D"/>
    <w:rsid w:val="00CD0CEC"/>
    <w:rsid w:val="00CD59DF"/>
    <w:rsid w:val="00CE528A"/>
    <w:rsid w:val="00D0031E"/>
    <w:rsid w:val="00D04D59"/>
    <w:rsid w:val="00D530EE"/>
    <w:rsid w:val="00D609AD"/>
    <w:rsid w:val="00D71A58"/>
    <w:rsid w:val="00D91CA2"/>
    <w:rsid w:val="00DE7050"/>
    <w:rsid w:val="00E23533"/>
    <w:rsid w:val="00E44931"/>
    <w:rsid w:val="00E56992"/>
    <w:rsid w:val="00E7679F"/>
    <w:rsid w:val="00EB077F"/>
    <w:rsid w:val="00EC2B58"/>
    <w:rsid w:val="00ED09BD"/>
    <w:rsid w:val="00ED3F60"/>
    <w:rsid w:val="00EE1AC6"/>
    <w:rsid w:val="00EE2ECC"/>
    <w:rsid w:val="00EE6892"/>
    <w:rsid w:val="00F21DF6"/>
    <w:rsid w:val="00F43951"/>
    <w:rsid w:val="00F51A6E"/>
    <w:rsid w:val="00F52B92"/>
    <w:rsid w:val="00F5301F"/>
    <w:rsid w:val="00FA16BC"/>
    <w:rsid w:val="00FB11A2"/>
    <w:rsid w:val="00FB3A9F"/>
    <w:rsid w:val="00FB7DCC"/>
    <w:rsid w:val="00FC1600"/>
    <w:rsid w:val="00FC37EF"/>
    <w:rsid w:val="00F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5E91"/>
  <w15:docId w15:val="{B314B85A-F8CA-40AF-81A1-50AB6785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D7367"/>
    <w:pPr>
      <w:spacing w:after="0" w:line="276" w:lineRule="auto"/>
    </w:pPr>
    <w:rPr>
      <w:rFonts w:ascii="Arial" w:eastAsia="Arial" w:hAnsi="Arial" w:cs="Arial"/>
      <w:lang w:eastAsia="de-L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9" ma:contentTypeDescription="Create a new document." ma:contentTypeScope="" ma:versionID="f9a8b523ab7790a0bab3ea4071c8f2e7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bee167269f2cd0b0e0bb51cfcb3f1eff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B76D7-AA96-4843-9DC7-0BB158A57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14812-0684-46FB-8C75-7CB32583C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602a-06fc-448b-b0f9-ecbb1f3e185e"/>
    <ds:schemaRef ds:uri="c8bb2422-5bc1-49c6-beba-f6740699f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25DCF-29EE-4E2A-8D69-EEEEF4C52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Poverjuc</dc:creator>
  <cp:keywords/>
  <dc:description/>
  <cp:lastModifiedBy>Oxana Poverjuc</cp:lastModifiedBy>
  <cp:revision>190</cp:revision>
  <cp:lastPrinted>2019-08-16T11:00:00Z</cp:lastPrinted>
  <dcterms:created xsi:type="dcterms:W3CDTF">2019-06-21T13:26:00Z</dcterms:created>
  <dcterms:modified xsi:type="dcterms:W3CDTF">2019-10-10T08:59:00Z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